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092" w:firstLineChars="700"/>
        <w:jc w:val="both"/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  <w:t>监督途径</w:t>
      </w:r>
    </w:p>
    <w:p>
      <w:pPr>
        <w:ind w:firstLine="3092" w:firstLineChars="700"/>
        <w:jc w:val="both"/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</w:pPr>
      <w:bookmarkStart w:id="0" w:name="_GoBack"/>
      <w:bookmarkEnd w:id="0"/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日常监督检查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涉企执法检查</w:t>
      </w:r>
    </w:p>
    <w:p>
      <w:pPr>
        <w:numPr>
          <w:ilvl w:val="0"/>
          <w:numId w:val="1"/>
        </w:num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随机抽查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专项整顿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投诉举报案件受理查处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上级交办案件查处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下级报请案件查处</w:t>
      </w:r>
    </w:p>
    <w:p>
      <w:pPr>
        <w:numPr>
          <w:numId w:val="0"/>
        </w:numPr>
        <w:ind w:leftChars="0"/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部门移送案件查处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96515C5"/>
    <w:multiLevelType w:val="singleLevel"/>
    <w:tmpl w:val="A96515C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B671A3"/>
    <w:rsid w:val="47072A74"/>
    <w:rsid w:val="507F227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淡然</cp:lastModifiedBy>
  <dcterms:modified xsi:type="dcterms:W3CDTF">2019-10-25T00:58:39Z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