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jc w:val="both"/>
        <w:rPr>
          <w:rFonts w:hint="eastAsia"/>
          <w:sz w:val="44"/>
          <w:szCs w:val="44"/>
          <w:lang w:eastAsia="zh-CN"/>
        </w:rPr>
      </w:pPr>
      <w:bookmarkStart w:id="0" w:name="_GoBack"/>
      <w:bookmarkEnd w:id="0"/>
      <w:r>
        <w:rPr>
          <w:rFonts w:hint="eastAsia"/>
          <w:sz w:val="44"/>
          <w:szCs w:val="44"/>
          <w:lang w:eastAsia="zh-CN"/>
        </w:rPr>
        <w:t>执法程序</w:t>
      </w:r>
    </w:p>
    <w:p>
      <w:pPr>
        <w:jc w:val="center"/>
        <w:rPr>
          <w:rFonts w:hint="eastAsia"/>
          <w:sz w:val="44"/>
          <w:szCs w:val="44"/>
          <w:lang w:eastAsia="zh-CN"/>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lang w:eastAsia="zh-CN"/>
        </w:rPr>
        <w:t>执法检查</w:t>
      </w:r>
      <w:r>
        <w:rPr>
          <w:rFonts w:hint="eastAsia" w:ascii="仿宋" w:hAnsi="仿宋" w:eastAsia="仿宋" w:cs="仿宋"/>
          <w:sz w:val="32"/>
          <w:szCs w:val="32"/>
        </w:rPr>
        <w:t>：</w:t>
      </w:r>
      <w:r>
        <w:rPr>
          <w:rFonts w:hint="eastAsia" w:ascii="仿宋" w:hAnsi="仿宋" w:eastAsia="仿宋" w:cs="仿宋"/>
          <w:sz w:val="32"/>
          <w:szCs w:val="32"/>
          <w:lang w:eastAsia="zh-CN"/>
        </w:rPr>
        <w:t>依据法律法规对辖区内管理相对人进行监督执法检查。</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受理</w:t>
      </w:r>
      <w:r>
        <w:rPr>
          <w:rFonts w:hint="eastAsia" w:ascii="仿宋" w:hAnsi="仿宋" w:eastAsia="仿宋" w:cs="仿宋"/>
          <w:sz w:val="32"/>
          <w:szCs w:val="32"/>
        </w:rPr>
        <w:t>立案：在卫生监督管理中发现的或卫生机构监测报告的或社会举报的或上级卫生行政机关交办、下级卫生行政机关报请的或者有关部门移送的符合立案条件的案件在7日内予以立案。</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调查取证责任：卫生行政机关对立案的案件，指定专人负责，及时组织调查取证，通过搜集证据、现场检查等方式了解核实情况等进行调查，并制作笔录。与当事人有直接利害关系的应当回避。执法人员不得少于两人，调查时应出示执法证件，允许当事人辩解陈述。认定并告知违法事实，说明处罚依据。执法人员应保守有关秘密。                     </w:t>
      </w:r>
    </w:p>
    <w:p>
      <w:pPr>
        <w:rPr>
          <w:rFonts w:hint="eastAsia" w:ascii="仿宋" w:hAnsi="仿宋" w:eastAsia="仿宋" w:cs="仿宋"/>
          <w:sz w:val="32"/>
          <w:szCs w:val="32"/>
        </w:rPr>
      </w:pPr>
      <w:r>
        <w:rPr>
          <w:rFonts w:hint="eastAsia" w:ascii="仿宋" w:hAnsi="仿宋" w:eastAsia="仿宋" w:cs="仿宋"/>
          <w:sz w:val="32"/>
          <w:szCs w:val="32"/>
          <w:lang w:val="en-US" w:eastAsia="zh-CN"/>
        </w:rPr>
        <w:t>4、案件</w:t>
      </w:r>
      <w:r>
        <w:rPr>
          <w:rFonts w:hint="eastAsia" w:ascii="仿宋" w:hAnsi="仿宋" w:eastAsia="仿宋" w:cs="仿宋"/>
          <w:sz w:val="32"/>
          <w:szCs w:val="32"/>
        </w:rPr>
        <w:t>合议：在调查终结后，应当对违法行为的事实、性质、情节以及社会危害程度进行合议并作好记录，合议应当根据认定的违法事实，依照有关卫生法律，法规和规章的规定列处理意见（主要证据不足时，以适当的方式补充调查）。</w:t>
      </w:r>
    </w:p>
    <w:p>
      <w:pPr>
        <w:rPr>
          <w:rFonts w:hint="eastAsia" w:ascii="仿宋" w:hAnsi="仿宋" w:eastAsia="仿宋" w:cs="仿宋"/>
          <w:sz w:val="32"/>
          <w:szCs w:val="32"/>
        </w:rPr>
      </w:pPr>
      <w:r>
        <w:rPr>
          <w:rFonts w:hint="eastAsia" w:ascii="仿宋" w:hAnsi="仿宋" w:eastAsia="仿宋" w:cs="仿宋"/>
          <w:sz w:val="32"/>
          <w:szCs w:val="32"/>
          <w:lang w:val="en-US" w:eastAsia="zh-CN"/>
        </w:rPr>
        <w:t>5、处罚</w:t>
      </w:r>
      <w:r>
        <w:rPr>
          <w:rFonts w:hint="eastAsia" w:ascii="仿宋" w:hAnsi="仿宋" w:eastAsia="仿宋" w:cs="仿宋"/>
          <w:sz w:val="32"/>
          <w:szCs w:val="32"/>
        </w:rPr>
        <w:t>告知：作出行政处罚决定前，应制作《行政处罚事先告知书》送达当事人，告知违法事实及其享有的陈述、申辩等权利。符合听证规定的，告知当事人有要求举行听证的权利。</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处罚</w:t>
      </w:r>
      <w:r>
        <w:rPr>
          <w:rFonts w:hint="eastAsia" w:ascii="仿宋" w:hAnsi="仿宋" w:eastAsia="仿宋" w:cs="仿宋"/>
          <w:sz w:val="32"/>
          <w:szCs w:val="32"/>
        </w:rPr>
        <w:t>决定责任：作出处罚决定，制作行政处罚决定书，载明行政处罚告知、当事人有权申请复议、诉讼情况等内容。</w:t>
      </w:r>
    </w:p>
    <w:p>
      <w:pPr>
        <w:rPr>
          <w:rFonts w:hint="eastAsia" w:ascii="仿宋" w:hAnsi="仿宋" w:eastAsia="仿宋" w:cs="仿宋"/>
          <w:sz w:val="32"/>
          <w:szCs w:val="32"/>
        </w:rPr>
      </w:pPr>
      <w:r>
        <w:rPr>
          <w:rFonts w:hint="eastAsia" w:ascii="仿宋" w:hAnsi="仿宋" w:eastAsia="仿宋" w:cs="仿宋"/>
          <w:sz w:val="32"/>
          <w:szCs w:val="32"/>
          <w:lang w:val="en-US" w:eastAsia="zh-CN"/>
        </w:rPr>
        <w:t>7、处罚决定书</w:t>
      </w:r>
      <w:r>
        <w:rPr>
          <w:rFonts w:hint="eastAsia" w:ascii="仿宋" w:hAnsi="仿宋" w:eastAsia="仿宋" w:cs="仿宋"/>
          <w:sz w:val="32"/>
          <w:szCs w:val="32"/>
        </w:rPr>
        <w:t xml:space="preserve">送达：行政处罚决定书应当在宣告后当场交付当事人；当事人不在场的，行政机关应当在七日内依照民事诉讼法的有关规定，将行政处罚决定书送达当事人。 </w:t>
      </w:r>
    </w:p>
    <w:p>
      <w:pPr>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、处罚</w:t>
      </w:r>
      <w:r>
        <w:rPr>
          <w:rFonts w:hint="eastAsia" w:ascii="仿宋" w:hAnsi="仿宋" w:eastAsia="仿宋" w:cs="仿宋"/>
          <w:sz w:val="32"/>
          <w:szCs w:val="32"/>
        </w:rPr>
        <w:t>执行：依照生效的行政处罚决定，自觉履行或强制执行。</w:t>
      </w:r>
    </w:p>
    <w:p>
      <w:pPr>
        <w:rPr>
          <w:rFonts w:hint="eastAsia" w:ascii="仿宋" w:hAnsi="仿宋" w:eastAsia="仿宋" w:cs="仿宋"/>
          <w:sz w:val="32"/>
          <w:szCs w:val="32"/>
        </w:rPr>
      </w:pPr>
      <w:r>
        <w:rPr>
          <w:rFonts w:hint="eastAsia" w:ascii="仿宋" w:hAnsi="仿宋" w:eastAsia="仿宋" w:cs="仿宋"/>
          <w:sz w:val="32"/>
          <w:szCs w:val="32"/>
        </w:rPr>
        <w:t>8.其他法律法规规章文件规定应履行的责任。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D319C"/>
    <w:multiLevelType w:val="singleLevel"/>
    <w:tmpl w:val="C9DD31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42364"/>
    <w:rsid w:val="53BF3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淡然</cp:lastModifiedBy>
  <dcterms:modified xsi:type="dcterms:W3CDTF">2019-10-25T00:12:56Z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